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4.png" ContentType="image/png"/>
  <Override PartName="/word/media/rId44.png" ContentType="image/png"/>
  <Override PartName="/word/media/rId29.png" ContentType="image/png"/>
  <Override PartName="/word/media/rId58.png" ContentType="image/png"/>
  <Override PartName="/word/media/rId53.png" ContentType="image/png"/>
  <Override PartName="/word/media/rId4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22,</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r>
        <w:t xml:space="preserve"> </w:t>
      </w:r>
    </w:p>
    <w:bookmarkEnd w:id="21"/>
    <w:bookmarkStart w:id="28" w:name="materials-and-methods"/>
    <w:p>
      <w:pPr>
        <w:pStyle w:val="Heading1"/>
      </w:pPr>
      <w:r>
        <w:t xml:space="preserve">Materials and methods</w:t>
      </w:r>
    </w:p>
    <w:bookmarkStart w:id="26" w:name="X4a10a7ff57542e67eb1ecd12d4615b15829a907"/>
    <w:p>
      <w:pPr>
        <w:pStyle w:val="Heading2"/>
      </w:pPr>
      <w:r>
        <w:t xml:space="preserve">Contextualising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w:t>
      </w:r>
      <w:r>
        <w:t xml:space="preserve"> </w:t>
      </w:r>
      <w:r>
        <w:rPr>
          <w:iCs/>
          <w:i/>
        </w:rPr>
        <w:t xml:space="preserve">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assess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2083, 81%). There are 385 (15%) editors who were active for between one day and one year. Only 107 (n = 4%) editors were active for more than one year, with 9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1 year or less to 4 years post-PhD, only 3% (3/116) held permanent positions. These numbers increased slightly for participants who had been on the market for 5–7 years, with 14% (7/49) holding permanent positions; similarly, 18% (6/34) of respondents who were on the market for 8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 Main et al.</w:t>
      </w:r>
      <w:r>
        <w:t xml:space="preserve"> </w:t>
      </w:r>
      <w:r>
        <w:t xml:space="preserve">(2019)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 PhD, three years post 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thus partially reflect the periodicity of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archive of all jobs posted during the study period, but a biased sample of the the jobs that early career applicants were most focused on applying for, and sharing information about.</w:t>
      </w:r>
    </w:p>
    <w:bookmarkEnd w:id="26"/>
    <w:bookmarkStart w:id="27"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End w:id="28"/>
    <w:bookmarkStart w:id="63"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2" w:name="fig-show-basic-plots"/>
          <w:p>
            <w:pPr>
              <w:pStyle w:val="Compact"/>
              <w:jc w:val="center"/>
            </w:pPr>
            <w:r>
              <w:drawing>
                <wp:inline>
                  <wp:extent cx="5943600" cy="4245428"/>
                  <wp:effectExtent b="0" l="0" r="0" t="0"/>
                  <wp:docPr descr="" title="" id="30" name="Picture"/>
                  <a:graphic>
                    <a:graphicData uri="http://schemas.openxmlformats.org/drawingml/2006/picture">
                      <pic:pic>
                        <pic:nvPicPr>
                          <pic:cNvPr descr="../figures/fig-panel-per-year.png" id="31" name="Picture"/>
                          <pic:cNvPicPr>
                            <a:picLocks noChangeArrowheads="1" noChangeAspect="1"/>
                          </pic:cNvPicPr>
                        </pic:nvPicPr>
                        <pic:blipFill>
                          <a:blip r:embed="rId29"/>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2"/>
        </w:tc>
      </w:tr>
    </w:tbl>
    <w:tbl>
      <w:tblPr>
        <w:tblStyle w:val="Table"/>
        <w:tblW w:type="pct" w:w="5000"/>
        <w:tblLook w:firstRow="0" w:lastRow="0" w:firstColumn="0" w:lastColumn="0" w:noHBand="0" w:noVBand="0" w:val="0000"/>
        <w:jc w:val="start"/>
        <w:tblLayout w:type="fixed"/>
      </w:tblPr>
      <w:tblGrid>
        <w:gridCol w:w="7920"/>
      </w:tblGrid>
      <w:tr>
        <w:tc>
          <w:tcPr/>
          <w:bookmarkStart w:id="33"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3"/>
        </w:tc>
      </w:tr>
    </w:tbl>
    <w:bookmarkStart w:id="38"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7" w:name="Xb6ce60108169ab29fd4ed84e6becc1ec8f0f199"/>
          <w:p>
            <w:pPr>
              <w:pStyle w:val="Compact"/>
              <w:jc w:val="center"/>
            </w:pPr>
            <w:r>
              <w:drawing>
                <wp:inline>
                  <wp:extent cx="5943600" cy="3467100"/>
                  <wp:effectExtent b="0" l="0" r="0" t="0"/>
                  <wp:docPr descr="" title="" id="35" name="Picture"/>
                  <a:graphic>
                    <a:graphicData uri="http://schemas.openxmlformats.org/drawingml/2006/picture">
                      <pic:pic>
                        <pic:nvPicPr>
                          <pic:cNvPr descr="../figures/fig-map-and-carnegie-classification-hand-edit.png" id="36" name="Picture"/>
                          <pic:cNvPicPr>
                            <a:picLocks noChangeArrowheads="1" noChangeAspect="1"/>
                          </pic:cNvPicPr>
                        </pic:nvPicPr>
                        <pic:blipFill>
                          <a:blip r:embed="rId34"/>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7"/>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8"/>
    <w:bookmarkStart w:id="43"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2" w:name="fig-show-geo-trends"/>
          <w:p>
            <w:pPr>
              <w:pStyle w:val="Compact"/>
              <w:jc w:val="center"/>
            </w:pPr>
            <w:r>
              <w:drawing>
                <wp:inline>
                  <wp:extent cx="5943600" cy="7429499"/>
                  <wp:effectExtent b="0" l="0" r="0" t="0"/>
                  <wp:docPr descr="" title="" id="40" name="Picture"/>
                  <a:graphic>
                    <a:graphicData uri="http://schemas.openxmlformats.org/drawingml/2006/picture">
                      <pic:pic>
                        <pic:nvPicPr>
                          <pic:cNvPr descr="../figures/fig-geo-focus-by-year.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2"/>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3"/>
    <w:bookmarkStart w:id="48"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7" w:name="fig-show-metho-trends"/>
          <w:p>
            <w:pPr>
              <w:pStyle w:val="Compact"/>
              <w:jc w:val="center"/>
            </w:pPr>
            <w:r>
              <w:drawing>
                <wp:inline>
                  <wp:extent cx="5943600" cy="7429499"/>
                  <wp:effectExtent b="0" l="0" r="0" t="0"/>
                  <wp:docPr descr="" title="" id="45" name="Picture"/>
                  <a:graphic>
                    <a:graphicData uri="http://schemas.openxmlformats.org/drawingml/2006/picture">
                      <pic:pic>
                        <pic:nvPicPr>
                          <pic:cNvPr descr="../figures/fig-method-focus-by-year.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7"/>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8"/>
    <w:bookmarkStart w:id="57"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2" w:name="fig-show-topi-trends"/>
          <w:p>
            <w:pPr>
              <w:pStyle w:val="Compact"/>
              <w:jc w:val="center"/>
            </w:pPr>
            <w:r>
              <w:drawing>
                <wp:inline>
                  <wp:extent cx="5943600" cy="7429499"/>
                  <wp:effectExtent b="0" l="0" r="0" t="0"/>
                  <wp:docPr descr="" title="" id="50" name="Picture"/>
                  <a:graphic>
                    <a:graphicData uri="http://schemas.openxmlformats.org/drawingml/2006/picture">
                      <pic:pic>
                        <pic:nvPicPr>
                          <pic:cNvPr descr="../figures/fig-topic-focus-by-year.png" id="51" name="Picture"/>
                          <pic:cNvPicPr>
                            <a:picLocks noChangeArrowheads="1" noChangeAspect="1"/>
                          </pic:cNvPicPr>
                        </pic:nvPicPr>
                        <pic:blipFill>
                          <a:blip r:embed="rId4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2"/>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6" w:name="fig-show-cooc"/>
          <w:p>
            <w:pPr>
              <w:pStyle w:val="Compact"/>
              <w:jc w:val="center"/>
            </w:pPr>
            <w:r>
              <w:drawing>
                <wp:inline>
                  <wp:extent cx="5943600" cy="5943600"/>
                  <wp:effectExtent b="0" l="0" r="0" t="0"/>
                  <wp:docPr descr="" title="" id="54" name="Picture"/>
                  <a:graphic>
                    <a:graphicData uri="http://schemas.openxmlformats.org/drawingml/2006/picture">
                      <pic:pic>
                        <pic:nvPicPr>
                          <pic:cNvPr descr="../figures/fig-topic-cooc-heatmap.png" id="55"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co-occurrance in job ads.</w:t>
            </w:r>
          </w:p>
          <w:bookmarkEnd w:id="56"/>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7"/>
    <w:bookmarkStart w:id="62"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1" w:name="fig-requirements-over-time"/>
          <w:p>
            <w:pPr>
              <w:pStyle w:val="Compact"/>
              <w:jc w:val="center"/>
            </w:pPr>
            <w:r>
              <w:drawing>
                <wp:inline>
                  <wp:extent cx="5943600" cy="2971800"/>
                  <wp:effectExtent b="0" l="0" r="0" t="0"/>
                  <wp:docPr descr="" title="" id="59" name="Picture"/>
                  <a:graphic>
                    <a:graphicData uri="http://schemas.openxmlformats.org/drawingml/2006/picture">
                      <pic:pic>
                        <pic:nvPicPr>
                          <pic:cNvPr descr="../figures/fig-requirements-per-year.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1"/>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2"/>
    <w:bookmarkEnd w:id="63"/>
    <w:bookmarkStart w:id="64"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 Wiki between 2010–2017, Passalacqua noted that approximately one quarter of the 474 ads posted were for adjunct or visiting staff</w:t>
      </w:r>
      <w:r>
        <w:t xml:space="preserve"> </w:t>
      </w:r>
      <w:r>
        <w:t xml:space="preserve">(Passalacqua 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congruence between subfields suggests that these patterns are a reflection of the Wiki, rather than the market itself.</w:t>
      </w:r>
    </w:p>
    <w:p>
      <w:pPr>
        <w:pStyle w:val="BodyText"/>
      </w:pPr>
      <w:r>
        <w:t xml:space="preserve">It is no secret that tenure-track jobs have traditionally been considered the</w:t>
      </w:r>
      <w:r>
        <w:t xml:space="preserve"> </w:t>
      </w:r>
      <w:r>
        <w:t xml:space="preserve">“</w:t>
      </w:r>
      <w:r>
        <w:t xml:space="preserve">gold standard</w:t>
      </w:r>
      <w:r>
        <w:t xml:space="preserve">”</w:t>
      </w:r>
      <w:r>
        <w:t xml:space="preserve"> </w:t>
      </w:r>
      <w:r>
        <w:t xml:space="preserve">of career outcomes for PhD students in the social sciences and humanities. As Kelsky outlines in</w:t>
      </w:r>
      <w:r>
        <w:t xml:space="preserve"> </w:t>
      </w:r>
      <w:r>
        <w:rPr>
          <w:iCs/>
          <w:i/>
        </w:rPr>
        <w:t xml:space="preserve">The Professor Is In</w:t>
      </w:r>
      <w:r>
        <w:t xml:space="preserve">, her influential and best-selling guide for PhD students pursuing faculty careers,</w:t>
      </w:r>
      <w:r>
        <w:t xml:space="preserve"> </w:t>
      </w:r>
      <w:r>
        <w:t xml:space="preserve">“</w:t>
      </w:r>
      <w:r>
        <w:t xml:space="preserve">…most ranking graduate programs sill consider any PhD who doesn’t land a tenure-track job a failure or an aberration… Graduate students absorb this value system and judge themselves harshly</w:t>
      </w:r>
      <w:r>
        <w:t xml:space="preserve">”</w:t>
      </w:r>
      <w:r>
        <w:t xml:space="preserve"> </w:t>
      </w:r>
      <w:r>
        <w:t xml:space="preserve">(2015:11)</w:t>
      </w:r>
      <w:r>
        <w:t xml:space="preserve">. These rubrics of success have been common across the humanities and social sciences for over half a century. Evaluating the demise of the National Endowment for Humanities Funded</w:t>
      </w:r>
      <w:r>
        <w:t xml:space="preserve"> </w:t>
      </w:r>
      <w:r>
        <w:t xml:space="preserve">“</w:t>
      </w:r>
      <w:r>
        <w:t xml:space="preserve">Program to ready PhDs for Careers in Business</w:t>
      </w:r>
      <w:r>
        <w:t xml:space="preserve">”</w:t>
      </w:r>
      <w:r>
        <w:t xml:space="preserve"> </w:t>
      </w:r>
      <w:r>
        <w:t xml:space="preserve">(CIB), which aimed to facilitate humanities PhDs’ transition to the corporate world in the late 1970s, Franczak points to the dissonance between participants’ incentives and outcomes:</w:t>
      </w:r>
    </w:p>
    <w:p>
      <w:pPr>
        <w:pStyle w:val="BodyText"/>
      </w:pPr>
      <w:r>
        <w:t xml:space="preserve">“</w:t>
      </w:r>
      <w:r>
        <w:t xml:space="preserve">The biggest lesson we can take from CIB is also the most obvious. PhDs, especially in the humanities, want to be academics. The deep reservoir of adjunct or contingent faculty that elite and non-elite universities alike depend on for their courses is testament to this fact—as is the excellent scholarship so many adjuncts produce without department support. To pretend otherwise is disingenuous, and, as CIB shows, possibly dangerous, too</w:t>
      </w:r>
      <w:r>
        <w:t xml:space="preserve">”</w:t>
      </w:r>
      <w:r>
        <w:t xml:space="preserve"> </w:t>
      </w:r>
      <w:r>
        <w:t xml:space="preserve">(Bessner and Brenes 2021:36)</w:t>
      </w:r>
      <w:r>
        <w:t xml:space="preserve">.</w:t>
      </w:r>
    </w:p>
    <w:p>
      <w:pPr>
        <w:pStyle w:val="BodyText"/>
      </w:pPr>
      <w:r>
        <w:t xml:space="preserve">The desire to pursue an academic career also characterizes more recent PhD cohorts, including those within archaeology. Brami et al’s survey found that despite the long odds and grueling precaraity, 71% of their early career respondents wished to remain in academia</w:t>
      </w:r>
      <w:r>
        <w:t xml:space="preserve"> </w:t>
      </w:r>
      <w:r>
        <w:t xml:space="preserve">(2023:242)</w:t>
      </w:r>
      <w:r>
        <w:t xml:space="preserve">. Overall, the obsessive valorization of permanent faculty positions in the face of a precipitous decline in available jobs is indicative of the potent combination of denial and delusion inacross academia. As Cefkin and Schwegler argue</w:t>
      </w:r>
      <w:r>
        <w:t xml:space="preserve"> </w:t>
      </w:r>
      <w:r>
        <w:t xml:space="preserve">“</w:t>
      </w:r>
      <w:r>
        <w:t xml:space="preserve">This asymmetry between the</w:t>
      </w:r>
      <w:r>
        <w:t xml:space="preserve"> </w:t>
      </w:r>
      <w:r>
        <w:t xml:space="preserve">‘</w:t>
      </w:r>
      <w:r>
        <w:t xml:space="preserve">ideal</w:t>
      </w:r>
      <w:r>
        <w:t xml:space="preserve">’</w:t>
      </w:r>
      <w:r>
        <w:t xml:space="preserve"> </w:t>
      </w:r>
      <w:r>
        <w:t xml:space="preserve">career path and the experiences of most graduates highlights the deep and growing chasm between the future that higher education institutions envision—and strongly incentivize—and what is actually happening</w:t>
      </w:r>
      <w:r>
        <w:t xml:space="preserve">”</w:t>
      </w:r>
      <w:r>
        <w:t xml:space="preserve"> </w:t>
      </w:r>
      <w:r>
        <w:t xml:space="preserve">(Cefkin and Schwegler)</w:t>
      </w:r>
      <w:r>
        <w:t xml:space="preserve">.</w:t>
      </w:r>
    </w:p>
    <w:p>
      <w:pPr>
        <w:pStyle w:val="BodyText"/>
      </w:pPr>
      <w:r>
        <w:t xml:space="preserve">Returning to our results,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 it is illegal in the US for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Complex societies and Archaeological science, the geographic foci of Mesoamerica and South America, and methods relating to Landscape archaeology. These trends are harder to explain as we cannot link their origins to a historical event such as the COVID-19 pandemic. We might speculate that a growing preference for archaeological approaches that privilege agency-driven, subjective, and relational perspectives,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4"/>
    <w:bookmarkStart w:id="65"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5"/>
    <w:bookmarkStart w:id="66"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6"/>
    <w:bookmarkStart w:id="67"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7"/>
    <w:bookmarkStart w:id="68"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8"/>
    <w:bookmarkStart w:id="69" w:name="competing-interests-statement"/>
    <w:p>
      <w:pPr>
        <w:pStyle w:val="Heading1"/>
      </w:pPr>
      <w:r>
        <w:t xml:space="preserve">Competing Interests Statement</w:t>
      </w:r>
    </w:p>
    <w:p>
      <w:pPr>
        <w:pStyle w:val="FirstParagraph"/>
      </w:pPr>
      <w:r>
        <w:t xml:space="preserve">Competing interests: The authors declare none</w:t>
      </w:r>
    </w:p>
    <w:bookmarkEnd w:id="69"/>
    <w:bookmarkStart w:id="70"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70"/>
    <w:bookmarkStart w:id="177" w:name="references-cited"/>
    <w:p>
      <w:pPr>
        <w:pStyle w:val="Heading1"/>
      </w:pPr>
      <w:r>
        <w:t xml:space="preserve">References cited</w:t>
      </w:r>
    </w:p>
    <w:bookmarkStart w:id="175" w:name="refs"/>
    <w:bookmarkStart w:id="72"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1">
        <w:r>
          <w:rPr>
            <w:rStyle w:val="Hyperlink"/>
          </w:rPr>
          <w:t xml:space="preserve">https://employers.americananthro.org/static-page/10285/job-board-policies/</w:t>
        </w:r>
      </w:hyperlink>
      <w:r>
        <w:t xml:space="preserve">, accessed January 26, 2025.</w:t>
      </w:r>
    </w:p>
    <w:bookmarkEnd w:id="72"/>
    <w:bookmarkStart w:id="74"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3">
        <w:r>
          <w:rPr>
            <w:rStyle w:val="Hyperlink"/>
          </w:rPr>
          <w:t xml:space="preserve">https://www.aaup.org/report/annual-report-economic-status-profession-2021-22</w:t>
        </w:r>
      </w:hyperlink>
      <w:r>
        <w:t xml:space="preserve">, accessed January 26, 2025.</w:t>
      </w:r>
    </w:p>
    <w:bookmarkEnd w:id="74"/>
    <w:bookmarkStart w:id="76"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5">
        <w:r>
          <w:rPr>
            <w:rStyle w:val="Hyperlink"/>
          </w:rPr>
          <w:t xml:space="preserve">https://www.aaup.org/report/2022-aaup-survey-tenure-practices</w:t>
        </w:r>
      </w:hyperlink>
      <w:r>
        <w:t xml:space="preserve">, accessed January 26, 2025.</w:t>
      </w:r>
    </w:p>
    <w:bookmarkEnd w:id="76"/>
    <w:bookmarkStart w:id="77" w:name="ref-aronowitz2001"/>
    <w:p>
      <w:pPr>
        <w:pStyle w:val="Bibliography"/>
      </w:pPr>
      <w:r>
        <w:t xml:space="preserve">Aronowitz, Stanley</w:t>
      </w:r>
      <w:r>
        <w:t xml:space="preserve"> </w:t>
      </w:r>
      <w:r>
        <w:t xml:space="preserve">2001</w:t>
      </w:r>
      <w:r>
        <w:t xml:space="preserve">	</w:t>
      </w:r>
      <w:r>
        <w:rPr>
          <w:iCs/>
          <w:i/>
        </w:rPr>
        <w:t xml:space="preserve">The last good job in america : Work and education in the new global technoculture</w:t>
      </w:r>
      <w:r>
        <w:t xml:space="preserve">. Critical perspectives series. Rowman &amp; Littlefield : Distributed by National Book Network, Lanham, Md.</w:t>
      </w:r>
    </w:p>
    <w:bookmarkEnd w:id="77"/>
    <w:bookmarkStart w:id="79"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8">
        <w:r>
          <w:rPr>
            <w:rStyle w:val="Hyperlink"/>
          </w:rPr>
          <w:t xml:space="preserve">10.1111/j.1460-2466.2010.01487.x</w:t>
        </w:r>
      </w:hyperlink>
      <w:r>
        <w:t xml:space="preserve">.</w:t>
      </w:r>
    </w:p>
    <w:bookmarkEnd w:id="79"/>
    <w:bookmarkStart w:id="80"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80"/>
    <w:bookmarkStart w:id="81"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81"/>
    <w:bookmarkStart w:id="82"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2"/>
    <w:bookmarkStart w:id="84"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3">
        <w:r>
          <w:rPr>
            <w:rStyle w:val="Hyperlink"/>
          </w:rPr>
          <w:t xml:space="preserve">10.1017/eaa.2022.41</w:t>
        </w:r>
      </w:hyperlink>
      <w:r>
        <w:t xml:space="preserve">.</w:t>
      </w:r>
    </w:p>
    <w:bookmarkEnd w:id="84"/>
    <w:bookmarkStart w:id="86"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5">
        <w:r>
          <w:rPr>
            <w:rStyle w:val="Hyperlink"/>
          </w:rPr>
          <w:t xml:space="preserve">10.48550/arXiv.1803.00125</w:t>
        </w:r>
      </w:hyperlink>
      <w:r>
        <w:t xml:space="preserve">.</w:t>
      </w:r>
    </w:p>
    <w:bookmarkEnd w:id="86"/>
    <w:bookmarkStart w:id="88" w:name="ref-cefkin"/>
    <w:p>
      <w:pPr>
        <w:pStyle w:val="Bibliography"/>
      </w:pPr>
      <w:r>
        <w:t xml:space="preserve">Cefkin, Melissa, and Tara Schwegler</w:t>
      </w:r>
      <w:r>
        <w:t xml:space="preserve">	</w:t>
      </w:r>
      <w:hyperlink r:id="rId87">
        <w:r>
          <w:rPr>
            <w:rStyle w:val="Hyperlink"/>
          </w:rPr>
          <w:t xml:space="preserve">A nonapocalyptic vision of graduate education</w:t>
        </w:r>
        <w:r>
          <w:rPr>
            <w:rStyle w:val="Hyperlink"/>
          </w:rPr>
          <w:t xml:space="preserve">’</w:t>
        </w:r>
        <w:r>
          <w:rPr>
            <w:rStyle w:val="Hyperlink"/>
          </w:rPr>
          <w:t xml:space="preserve">s future</w:t>
        </w:r>
      </w:hyperlink>
      <w:r>
        <w:t xml:space="preserve">.</w:t>
      </w:r>
      <w:r>
        <w:t xml:space="preserve"> </w:t>
      </w:r>
      <w:r>
        <w:rPr>
          <w:iCs/>
          <w:i/>
        </w:rPr>
        <w:t xml:space="preserve">Inside Higher Ed</w:t>
      </w:r>
      <w:r>
        <w:t xml:space="preserve">.</w:t>
      </w:r>
    </w:p>
    <w:bookmarkEnd w:id="88"/>
    <w:bookmarkStart w:id="90"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9">
        <w:r>
          <w:rPr>
            <w:rStyle w:val="Hyperlink"/>
          </w:rPr>
          <w:t xml:space="preserve">10.1126/sciadv.1400005</w:t>
        </w:r>
      </w:hyperlink>
      <w:r>
        <w:t xml:space="preserve">.</w:t>
      </w:r>
    </w:p>
    <w:bookmarkEnd w:id="90"/>
    <w:bookmarkStart w:id="92"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91">
        <w:r>
          <w:rPr>
            <w:rStyle w:val="Hyperlink"/>
          </w:rPr>
          <w:t xml:space="preserve">10.1017/aap.2022.8</w:t>
        </w:r>
      </w:hyperlink>
      <w:r>
        <w:t xml:space="preserve">, accessed October 16, 2024.</w:t>
      </w:r>
    </w:p>
    <w:bookmarkEnd w:id="92"/>
    <w:bookmarkStart w:id="94" w:name="ref-culver"/>
    <w:p>
      <w:pPr>
        <w:pStyle w:val="Bibliography"/>
      </w:pPr>
      <w:r>
        <w:t xml:space="preserve">Culver, KC, and Adrianna Kezar</w:t>
      </w:r>
      <w:r>
        <w:t xml:space="preserve"> </w:t>
      </w:r>
      <w:r>
        <w:t xml:space="preserve">2022</w:t>
      </w:r>
      <w:r>
        <w:t xml:space="preserve">	</w:t>
      </w:r>
      <w:hyperlink r:id="rId93">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4"/>
    <w:bookmarkStart w:id="96"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95">
        <w:r>
          <w:rPr>
            <w:rStyle w:val="Hyperlink"/>
          </w:rPr>
          <w:t xml:space="preserve">10.1111/aman.13781</w:t>
        </w:r>
      </w:hyperlink>
      <w:r>
        <w:t xml:space="preserve">, accessed October 22, 2024.</w:t>
      </w:r>
    </w:p>
    <w:bookmarkEnd w:id="96"/>
    <w:bookmarkStart w:id="98"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7">
        <w:r>
          <w:rPr>
            <w:rStyle w:val="Hyperlink"/>
          </w:rPr>
          <w:t xml:space="preserve">10.1073/pnas.2117320119</w:t>
        </w:r>
      </w:hyperlink>
      <w:r>
        <w:t xml:space="preserve">.</w:t>
      </w:r>
    </w:p>
    <w:bookmarkEnd w:id="98"/>
    <w:bookmarkStart w:id="99"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9"/>
    <w:bookmarkStart w:id="101"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100">
        <w:r>
          <w:rPr>
            <w:rStyle w:val="Hyperlink"/>
          </w:rPr>
          <w:t xml:space="preserve">10.1007/s11192-021-03917-y</w:t>
        </w:r>
      </w:hyperlink>
      <w:r>
        <w:t xml:space="preserve">.</w:t>
      </w:r>
    </w:p>
    <w:bookmarkEnd w:id="101"/>
    <w:bookmarkStart w:id="103"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2">
        <w:r>
          <w:rPr>
            <w:rStyle w:val="Hyperlink"/>
          </w:rPr>
          <w:t xml:space="preserve">10.1017/aaq.2021.18</w:t>
        </w:r>
      </w:hyperlink>
      <w:r>
        <w:t xml:space="preserve">.</w:t>
      </w:r>
    </w:p>
    <w:bookmarkEnd w:id="103"/>
    <w:bookmarkStart w:id="105"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04">
        <w:r>
          <w:rPr>
            <w:rStyle w:val="Hyperlink"/>
          </w:rPr>
          <w:t xml:space="preserve">https://arizona.academia.edu/LarsFogelin</w:t>
        </w:r>
      </w:hyperlink>
      <w:r>
        <w:t xml:space="preserve">, accessed January 26, 2025.</w:t>
      </w:r>
    </w:p>
    <w:bookmarkEnd w:id="105"/>
    <w:bookmarkStart w:id="107"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6">
        <w:r>
          <w:rPr>
            <w:rStyle w:val="Hyperlink"/>
          </w:rPr>
          <w:t xml:space="preserve">10.1007/s10761-020-00577-1</w:t>
        </w:r>
      </w:hyperlink>
      <w:r>
        <w:t xml:space="preserve">.</w:t>
      </w:r>
    </w:p>
    <w:bookmarkEnd w:id="107"/>
    <w:bookmarkStart w:id="109"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8">
        <w:r>
          <w:rPr>
            <w:rStyle w:val="Hyperlink"/>
          </w:rPr>
          <w:t xml:space="preserve">https://www.anthropology-news.org/articles/hello-to-tristes-tropes/</w:t>
        </w:r>
      </w:hyperlink>
      <w:r>
        <w:t xml:space="preserve">, accessed August 2, 2022.</w:t>
      </w:r>
    </w:p>
    <w:bookmarkEnd w:id="109"/>
    <w:bookmarkStart w:id="111"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10">
        <w:r>
          <w:rPr>
            <w:rStyle w:val="Hyperlink"/>
          </w:rPr>
          <w:t xml:space="preserve">10.1002/sres.2324</w:t>
        </w:r>
      </w:hyperlink>
      <w:r>
        <w:t xml:space="preserve">.</w:t>
      </w:r>
    </w:p>
    <w:bookmarkEnd w:id="111"/>
    <w:bookmarkStart w:id="112"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2"/>
    <w:bookmarkStart w:id="113"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13"/>
    <w:bookmarkStart w:id="115"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14">
        <w:r>
          <w:rPr>
            <w:rStyle w:val="Hyperlink"/>
          </w:rPr>
          <w:t xml:space="preserve">https://www.higheredjobs.com/Articles/articleDisplay.cfm?ID=3948</w:t>
        </w:r>
      </w:hyperlink>
      <w:r>
        <w:t xml:space="preserve">, accessed November 1, 2024.</w:t>
      </w:r>
    </w:p>
    <w:bookmarkEnd w:id="115"/>
    <w:bookmarkStart w:id="117"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6">
        <w:r>
          <w:rPr>
            <w:rStyle w:val="Hyperlink"/>
          </w:rPr>
          <w:t xml:space="preserve">10.1111/amet.12520</w:t>
        </w:r>
      </w:hyperlink>
      <w:r>
        <w:t xml:space="preserve">.</w:t>
      </w:r>
    </w:p>
    <w:bookmarkEnd w:id="117"/>
    <w:bookmarkStart w:id="118"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8"/>
    <w:bookmarkStart w:id="119"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9"/>
    <w:bookmarkStart w:id="121"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20">
        <w:r>
          <w:rPr>
            <w:rStyle w:val="Hyperlink"/>
          </w:rPr>
          <w:t xml:space="preserve">10.1093/geront/gnw001</w:t>
        </w:r>
      </w:hyperlink>
      <w:r>
        <w:t xml:space="preserve">.</w:t>
      </w:r>
    </w:p>
    <w:bookmarkEnd w:id="121"/>
    <w:bookmarkStart w:id="123"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22">
        <w:r>
          <w:rPr>
            <w:rStyle w:val="Hyperlink"/>
          </w:rPr>
          <w:t xml:space="preserve">10.1111/aman.13158</w:t>
        </w:r>
      </w:hyperlink>
      <w:r>
        <w:t xml:space="preserve">, accessed October 31, 2024.</w:t>
      </w:r>
    </w:p>
    <w:bookmarkEnd w:id="123"/>
    <w:bookmarkStart w:id="124"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24"/>
    <w:bookmarkStart w:id="125"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25"/>
    <w:bookmarkStart w:id="127"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6">
        <w:r>
          <w:rPr>
            <w:rStyle w:val="Hyperlink"/>
          </w:rPr>
          <w:t xml:space="preserve">10.1017/aaq.2022.59</w:t>
        </w:r>
      </w:hyperlink>
      <w:r>
        <w:t xml:space="preserve">.</w:t>
      </w:r>
    </w:p>
    <w:bookmarkEnd w:id="127"/>
    <w:bookmarkStart w:id="129"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8">
        <w:r>
          <w:rPr>
            <w:rStyle w:val="Hyperlink"/>
          </w:rPr>
          <w:t xml:space="preserve">10.1002/sres.2210</w:t>
        </w:r>
      </w:hyperlink>
      <w:r>
        <w:t xml:space="preserve">.</w:t>
      </w:r>
    </w:p>
    <w:bookmarkEnd w:id="129"/>
    <w:bookmarkStart w:id="130"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30"/>
    <w:bookmarkStart w:id="131"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31"/>
    <w:bookmarkStart w:id="133"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32">
        <w:r>
          <w:rPr>
            <w:rStyle w:val="Hyperlink"/>
          </w:rPr>
          <w:t xml:space="preserve">10.7326/M20-6306</w:t>
        </w:r>
      </w:hyperlink>
      <w:r>
        <w:t xml:space="preserve">.</w:t>
      </w:r>
    </w:p>
    <w:bookmarkEnd w:id="133"/>
    <w:bookmarkStart w:id="135"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34">
        <w:r>
          <w:rPr>
            <w:rStyle w:val="Hyperlink"/>
          </w:rPr>
          <w:t xml:space="preserve">10.1371/journal.pone.0285330</w:t>
        </w:r>
      </w:hyperlink>
      <w:r>
        <w:t xml:space="preserve">.</w:t>
      </w:r>
    </w:p>
    <w:bookmarkEnd w:id="135"/>
    <w:bookmarkStart w:id="137" w:name="ref-main2019"/>
    <w:p>
      <w:pPr>
        <w:pStyle w:val="Bibliography"/>
      </w:pPr>
      <w:r>
        <w:t xml:space="preserve">Main, Joyce B., Sarah Prenovitz, and Ronald G. Ehrenberg</w:t>
      </w:r>
      <w:r>
        <w:t xml:space="preserve"> </w:t>
      </w:r>
      <w:r>
        <w:t xml:space="preserve">2019</w:t>
      </w:r>
      <w:r>
        <w:t xml:space="preserve">	</w:t>
      </w:r>
      <w:r>
        <w:t xml:space="preserve">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 DOI:</w:t>
      </w:r>
      <w:hyperlink r:id="rId136">
        <w:r>
          <w:rPr>
            <w:rStyle w:val="Hyperlink"/>
          </w:rPr>
          <w:t xml:space="preserve">10.1353/rhe.2019.0067</w:t>
        </w:r>
      </w:hyperlink>
      <w:r>
        <w:t xml:space="preserve">.</w:t>
      </w:r>
    </w:p>
    <w:bookmarkEnd w:id="137"/>
    <w:bookmarkStart w:id="139"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8">
        <w:r>
          <w:rPr>
            <w:rStyle w:val="Hyperlink"/>
          </w:rPr>
          <w:t xml:space="preserve">10.1007/s10816-015-9272-9</w:t>
        </w:r>
      </w:hyperlink>
      <w:r>
        <w:t xml:space="preserve">.</w:t>
      </w:r>
    </w:p>
    <w:bookmarkEnd w:id="139"/>
    <w:bookmarkStart w:id="140"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40"/>
    <w:bookmarkStart w:id="142"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41">
        <w:r>
          <w:rPr>
            <w:rStyle w:val="Hyperlink"/>
          </w:rPr>
          <w:t xml:space="preserve">10.1017/aap.2023.21</w:t>
        </w:r>
      </w:hyperlink>
      <w:r>
        <w:t xml:space="preserve">.</w:t>
      </w:r>
    </w:p>
    <w:bookmarkEnd w:id="142"/>
    <w:bookmarkStart w:id="143"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43"/>
    <w:bookmarkStart w:id="145"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44">
        <w:r>
          <w:rPr>
            <w:rStyle w:val="Hyperlink"/>
          </w:rPr>
          <w:t xml:space="preserve">https://nces.ed.gov/ipeds/</w:t>
        </w:r>
      </w:hyperlink>
      <w:r>
        <w:t xml:space="preserve">, accessed January 25, 2025.</w:t>
      </w:r>
    </w:p>
    <w:bookmarkEnd w:id="145"/>
    <w:bookmarkStart w:id="147"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46">
        <w:r>
          <w:rPr>
            <w:rStyle w:val="Hyperlink"/>
          </w:rPr>
          <w:t xml:space="preserve">10.1111/cars.12252</w:t>
        </w:r>
      </w:hyperlink>
      <w:r>
        <w:t xml:space="preserve">.</w:t>
      </w:r>
    </w:p>
    <w:bookmarkEnd w:id="147"/>
    <w:bookmarkStart w:id="149"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8">
        <w:r>
          <w:rPr>
            <w:rStyle w:val="Hyperlink"/>
          </w:rPr>
          <w:t xml:space="preserve">10.1002/ajpa.23457</w:t>
        </w:r>
      </w:hyperlink>
      <w:r>
        <w:t xml:space="preserve">.</w:t>
      </w:r>
    </w:p>
    <w:bookmarkEnd w:id="149"/>
    <w:bookmarkStart w:id="151"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50">
        <w:r>
          <w:rPr>
            <w:rStyle w:val="Hyperlink"/>
          </w:rPr>
          <w:t xml:space="preserve">https://culanth.org/fieldsights/academic-precarity-in-american-anthropology</w:t>
        </w:r>
      </w:hyperlink>
      <w:r>
        <w:t xml:space="preserve">, accessed October 31, 2024.</w:t>
      </w:r>
    </w:p>
    <w:bookmarkEnd w:id="151"/>
    <w:bookmarkStart w:id="153" w:name="ref-rlanguage"/>
    <w:p>
      <w:pPr>
        <w:pStyle w:val="Bibliography"/>
      </w:pPr>
      <w:r>
        <w:t xml:space="preserve">R Core Team</w:t>
      </w:r>
      <w:r>
        <w:t xml:space="preserve"> </w:t>
      </w:r>
      <w:r>
        <w:t xml:space="preserve">2024</w:t>
      </w:r>
      <w:r>
        <w:t xml:space="preserve">	</w:t>
      </w:r>
      <w:hyperlink r:id="rId152">
        <w:r>
          <w:rPr>
            <w:rStyle w:val="Hyperlink"/>
            <w:iCs/>
            <w:i/>
          </w:rPr>
          <w:t xml:space="preserve">R: A language and environment for statistical computing</w:t>
        </w:r>
      </w:hyperlink>
      <w:r>
        <w:t xml:space="preserve">. R Foundation for Statistical Computing, Vienna, Austria.</w:t>
      </w:r>
    </w:p>
    <w:bookmarkEnd w:id="153"/>
    <w:bookmarkStart w:id="154"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54"/>
    <w:bookmarkStart w:id="156"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55">
        <w:r>
          <w:rPr>
            <w:rStyle w:val="Hyperlink"/>
          </w:rPr>
          <w:t xml:space="preserve">10.1515/opar-2022-0309</w:t>
        </w:r>
      </w:hyperlink>
      <w:r>
        <w:t xml:space="preserve">.</w:t>
      </w:r>
    </w:p>
    <w:bookmarkEnd w:id="156"/>
    <w:bookmarkStart w:id="158" w:name="ref-rogge1976"/>
    <w:p>
      <w:pPr>
        <w:pStyle w:val="Bibliography"/>
      </w:pPr>
      <w:r>
        <w:t xml:space="preserve">Rogge, A. E.</w:t>
      </w:r>
      <w:r>
        <w:t xml:space="preserve"> </w:t>
      </w:r>
      <w:r>
        <w:t xml:space="preserve">1976</w:t>
      </w:r>
      <w:r>
        <w:t xml:space="preserve">	</w:t>
      </w:r>
      <w:r>
        <w:t xml:space="preserve">A Look at Academic Anthropology: Through a Graph Darkly.</w:t>
      </w:r>
      <w:r>
        <w:t xml:space="preserve"> </w:t>
      </w:r>
      <w:r>
        <w:rPr>
          <w:iCs/>
          <w:i/>
        </w:rPr>
        <w:t xml:space="preserve">American Anthropologist</w:t>
      </w:r>
      <w:r>
        <w:t xml:space="preserve"> </w:t>
      </w:r>
      <w:r>
        <w:t xml:space="preserve">78(4):829–843. DOI:</w:t>
      </w:r>
      <w:hyperlink r:id="rId157">
        <w:r>
          <w:rPr>
            <w:rStyle w:val="Hyperlink"/>
          </w:rPr>
          <w:t xml:space="preserve">10.1525/aa.1976.78.4.02a00070</w:t>
        </w:r>
      </w:hyperlink>
      <w:r>
        <w:t xml:space="preserve">.</w:t>
      </w:r>
    </w:p>
    <w:bookmarkEnd w:id="158"/>
    <w:bookmarkStart w:id="159"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59"/>
    <w:bookmarkStart w:id="160"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60"/>
    <w:bookmarkStart w:id="162" w:name="ref-soucek2021diversity"/>
    <w:p>
      <w:pPr>
        <w:pStyle w:val="Bibliography"/>
      </w:pPr>
      <w:r>
        <w:t xml:space="preserve">Soucek, Brian</w:t>
      </w:r>
      <w:r>
        <w:t xml:space="preserve"> </w:t>
      </w:r>
      <w:r>
        <w:t xml:space="preserve">2022</w:t>
      </w:r>
      <w:r>
        <w:t xml:space="preserve">	</w:t>
      </w:r>
      <w:hyperlink r:id="rId161">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62"/>
    <w:bookmarkStart w:id="163"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63"/>
    <w:bookmarkStart w:id="165"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64">
        <w:r>
          <w:rPr>
            <w:rStyle w:val="Hyperlink"/>
          </w:rPr>
          <w:t xml:space="preserve">10.1093/cid/ciaa815</w:t>
        </w:r>
      </w:hyperlink>
      <w:r>
        <w:t xml:space="preserve">.</w:t>
      </w:r>
    </w:p>
    <w:bookmarkEnd w:id="165"/>
    <w:bookmarkStart w:id="167"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66">
        <w:r>
          <w:rPr>
            <w:rStyle w:val="Hyperlink"/>
          </w:rPr>
          <w:t xml:space="preserve">10.1111/j.1556-3502.2010.51904.x</w:t>
        </w:r>
      </w:hyperlink>
      <w:r>
        <w:t xml:space="preserve">.</w:t>
      </w:r>
    </w:p>
    <w:bookmarkEnd w:id="167"/>
    <w:bookmarkStart w:id="169"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68">
        <w:r>
          <w:rPr>
            <w:rStyle w:val="Hyperlink"/>
          </w:rPr>
          <w:t xml:space="preserve">10.1038/s41586-022-05222-x</w:t>
        </w:r>
      </w:hyperlink>
      <w:r>
        <w:t xml:space="preserve">, accessed November 1, 2024.</w:t>
      </w:r>
    </w:p>
    <w:bookmarkEnd w:id="169"/>
    <w:bookmarkStart w:id="170"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70"/>
    <w:bookmarkStart w:id="172"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71">
        <w:r>
          <w:rPr>
            <w:rStyle w:val="Hyperlink"/>
          </w:rPr>
          <w:t xml:space="preserve">10.1038/d41586-020-01656-3</w:t>
        </w:r>
      </w:hyperlink>
      <w:r>
        <w:t xml:space="preserve">.</w:t>
      </w:r>
    </w:p>
    <w:bookmarkEnd w:id="172"/>
    <w:bookmarkStart w:id="174"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73">
        <w:r>
          <w:rPr>
            <w:rStyle w:val="Hyperlink"/>
          </w:rPr>
          <w:t xml:space="preserve">10.1111/AN.1341</w:t>
        </w:r>
      </w:hyperlink>
      <w:r>
        <w:t xml:space="preserve">.</w:t>
      </w:r>
    </w:p>
    <w:bookmarkEnd w:id="174"/>
    <w:bookmarkEnd w:id="175"/>
    <w:p>
      <w:r>
        <w:br w:type="page"/>
      </w:r>
    </w:p>
    <w:bookmarkStart w:id="176" w:name="colophon"/>
    <w:p>
      <w:pPr>
        <w:pStyle w:val="Heading3"/>
      </w:pPr>
      <w:r>
        <w:t xml:space="preserve">Colophon</w:t>
      </w:r>
    </w:p>
    <w:p>
      <w:pPr>
        <w:pStyle w:val="FirstParagraph"/>
      </w:pPr>
      <w:r>
        <w:t xml:space="preserve">This report was generated on 2025-05-22 21:15:27.979573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2025-05-22</w:t>
      </w:r>
      <w:r>
        <w:br/>
      </w:r>
      <w:r>
        <w:rPr>
          <w:rStyle w:val="VerbatimChar"/>
        </w:rPr>
        <w:t xml:space="preserve"> pandoc   3.6.2 @ /usr/local/bin/ (via rmarkdown)</w:t>
      </w:r>
      <w:r>
        <w:br/>
      </w:r>
      <w:r>
        <w:rPr>
          <w:rStyle w:val="VerbatimChar"/>
        </w:rPr>
        <w:t xml:space="preserve"> quarto   1.4.424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askpass             1.2.1   2024-10-04 [1] CRAN (R 4.5.0)</w:t>
      </w:r>
      <w:r>
        <w:br/>
      </w:r>
      <w:r>
        <w:rPr>
          <w:rStyle w:val="VerbatimChar"/>
        </w:rPr>
        <w:t xml:space="preserve"> beeswarm            0.4.0   2021-06-01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cachem              1.1.0   2024-05-16 [1] CRAN (R 4.5.0)</w:t>
      </w:r>
      <w:r>
        <w:br/>
      </w:r>
      <w:r>
        <w:rPr>
          <w:rStyle w:val="VerbatimChar"/>
        </w:rPr>
        <w:t xml:space="preserve"> cellranger          1.1.0   2016-07-27 [1] CRAN (R 4.5.0)</w:t>
      </w:r>
      <w:r>
        <w:br/>
      </w:r>
      <w:r>
        <w:rPr>
          <w:rStyle w:val="VerbatimChar"/>
        </w:rPr>
        <w:t xml:space="preserve"> chromote            0.5.1   2025-04-24 [1] CRAN (R 4.5.0)</w:t>
      </w:r>
      <w:r>
        <w:br/>
      </w:r>
      <w:r>
        <w:rPr>
          <w:rStyle w:val="VerbatimChar"/>
        </w:rPr>
        <w:t xml:space="preserve"> cli                 3.6.5   2025-04-23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curl                6.2.2   2025-03-24 [1] CRAN (R 4.5.0)</w:t>
      </w:r>
      <w:r>
        <w:br/>
      </w:r>
      <w:r>
        <w:rPr>
          <w:rStyle w:val="VerbatimChar"/>
        </w:rPr>
        <w:t xml:space="preserve"> data.table          1.17.0  2025-02-22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fiftystater       * 1.0.1   2025-05-14 [1] Github (wmurphyrd/fiftystater@28e7fa5)</w:t>
      </w:r>
      <w:r>
        <w:br/>
      </w:r>
      <w:r>
        <w:rPr>
          <w:rStyle w:val="VerbatimChar"/>
        </w:rPr>
        <w:t xml:space="preserve"> flextable         * 0.9.7   2024-10-27 [1] CRAN (R 4.5.0)</w:t>
      </w:r>
      <w:r>
        <w:br/>
      </w:r>
      <w:r>
        <w:rPr>
          <w:rStyle w:val="VerbatimChar"/>
        </w:rPr>
        <w:t xml:space="preserve"> fontBitstreamVera   0.1.1   2017-02-01 [1] CRAN (R 4.5.0)</w:t>
      </w:r>
      <w:r>
        <w:br/>
      </w:r>
      <w:r>
        <w:rPr>
          <w:rStyle w:val="VerbatimChar"/>
        </w:rPr>
        <w:t xml:space="preserve"> fontLiberation      0.1.0   2016-10-15 [1] CRAN (R 4.5.0)</w:t>
      </w:r>
      <w:r>
        <w:br/>
      </w:r>
      <w:r>
        <w:rPr>
          <w:rStyle w:val="VerbatimChar"/>
        </w:rPr>
        <w:t xml:space="preserve"> fontquiver          0.2.1   2017-02-01 [1] CRAN (R 4.5.0)</w:t>
      </w:r>
      <w:r>
        <w:br/>
      </w:r>
      <w:r>
        <w:rPr>
          <w:rStyle w:val="VerbatimChar"/>
        </w:rPr>
        <w:t xml:space="preserve"> forcats           * 1.0.0   2023-01-29 [1] CRAN (R 4.5.0)</w:t>
      </w:r>
      <w:r>
        <w:br/>
      </w:r>
      <w:r>
        <w:rPr>
          <w:rStyle w:val="VerbatimChar"/>
        </w:rPr>
        <w:t xml:space="preserve"> fs                  1.6.6   2025-04-12 [1] CRAN (R 4.5.0)</w:t>
      </w:r>
      <w:r>
        <w:br/>
      </w:r>
      <w:r>
        <w:rPr>
          <w:rStyle w:val="VerbatimChar"/>
        </w:rPr>
        <w:t xml:space="preserve"> gdtools             0.4.2   2025-03-27 [1] CRAN (R 4.5.0)</w:t>
      </w:r>
      <w:r>
        <w:br/>
      </w:r>
      <w:r>
        <w:rPr>
          <w:rStyle w:val="VerbatimChar"/>
        </w:rPr>
        <w:t xml:space="preserve"> generics            0.1.4   2025-05-09 [1] CRAN (R 4.5.0)</w:t>
      </w:r>
      <w:r>
        <w:br/>
      </w:r>
      <w:r>
        <w:rPr>
          <w:rStyle w:val="VerbatimChar"/>
        </w:rPr>
        <w:t xml:space="preserve"> ggbeeswarm        * 0.7.2   2023-04-29 [1] CRAN (R 4.5.0)</w:t>
      </w:r>
      <w:r>
        <w:br/>
      </w:r>
      <w:r>
        <w:rPr>
          <w:rStyle w:val="VerbatimChar"/>
        </w:rPr>
        <w:t xml:space="preserve"> ggplot2           * 3.5.2   2025-04-09 [1] CRAN (R 4.5.0)</w:t>
      </w:r>
      <w:r>
        <w:br/>
      </w:r>
      <w:r>
        <w:rPr>
          <w:rStyle w:val="VerbatimChar"/>
        </w:rPr>
        <w:t xml:space="preserve"> ggrepel           * 0.9.6   2024-09-07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hms                 1.1.3   2023-03-21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httr                1.4.7   2023-08-15 [1] CRAN (R 4.5.0)</w:t>
      </w:r>
      <w:r>
        <w:br/>
      </w:r>
      <w:r>
        <w:rPr>
          <w:rStyle w:val="VerbatimChar"/>
        </w:rPr>
        <w:t xml:space="preserve"> janitor             2.2.1   2024-12-22 [1] CRAN (R 4.5.0)</w:t>
      </w:r>
      <w:r>
        <w:br/>
      </w:r>
      <w:r>
        <w:rPr>
          <w:rStyle w:val="VerbatimChar"/>
        </w:rPr>
        <w:t xml:space="preserve"> jsonlite            2.0.0   2025-03-27 [1] CRAN (R 4.5.0)</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lattice             0.22-6  2024-03-20 [1] CRAN (R 4.5.0)</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mapproj             1.2.11  2023-01-12 [1] CRAN (R 4.5.0)</w:t>
      </w:r>
      <w:r>
        <w:br/>
      </w:r>
      <w:r>
        <w:rPr>
          <w:rStyle w:val="VerbatimChar"/>
        </w:rPr>
        <w:t xml:space="preserve"> maps                3.4.2.1 2024-11-10 [1] CRAN (R 4.5.0)</w:t>
      </w:r>
      <w:r>
        <w:br/>
      </w:r>
      <w:r>
        <w:rPr>
          <w:rStyle w:val="VerbatimChar"/>
        </w:rPr>
        <w:t xml:space="preserve"> Matrix              1.7-3   2025-03-11 [1] CRAN (R 4.5.0)</w:t>
      </w:r>
      <w:r>
        <w:br/>
      </w:r>
      <w:r>
        <w:rPr>
          <w:rStyle w:val="VerbatimChar"/>
        </w:rPr>
        <w:t xml:space="preserve"> memoise             2.0.1   2021-11-26 [1] CRAN (R 4.5.0)</w:t>
      </w:r>
      <w:r>
        <w:br/>
      </w:r>
      <w:r>
        <w:rPr>
          <w:rStyle w:val="VerbatimChar"/>
        </w:rPr>
        <w:t xml:space="preserve"> mgcv                1.9-1   2023-12-21 [1] CRAN (R 4.5.0)</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nlme                3.1-168 2025-03-31 [1] CRAN (R 4.5.0)</w:t>
      </w:r>
      <w:r>
        <w:br/>
      </w:r>
      <w:r>
        <w:rPr>
          <w:rStyle w:val="VerbatimChar"/>
        </w:rPr>
        <w:t xml:space="preserve"> officer             0.6.8   2025-03-23 [1] CRAN (R 4.5.0)</w:t>
      </w:r>
      <w:r>
        <w:br/>
      </w:r>
      <w:r>
        <w:rPr>
          <w:rStyle w:val="VerbatimChar"/>
        </w:rPr>
        <w:t xml:space="preserve"> openssl             2.3.2   2025-02-03 [1] CRAN (R 4.5.0)</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png                 0.1-8   2022-11-29 [1] CRAN (R 4.5.0)</w:t>
      </w:r>
      <w:r>
        <w:br/>
      </w:r>
      <w:r>
        <w:rPr>
          <w:rStyle w:val="VerbatimChar"/>
        </w:rPr>
        <w:t xml:space="preserve"> processx            3.8.6   2025-02-21 [1] CRAN (R 4.5.0)</w:t>
      </w:r>
      <w:r>
        <w:br/>
      </w:r>
      <w:r>
        <w:rPr>
          <w:rStyle w:val="VerbatimChar"/>
        </w:rPr>
        <w:t xml:space="preserve"> profvis             0.4.0   2024-09-20 [1] CRAN (R 4.5.0)</w:t>
      </w:r>
      <w:r>
        <w:br/>
      </w:r>
      <w:r>
        <w:rPr>
          <w:rStyle w:val="VerbatimChar"/>
        </w:rPr>
        <w:t xml:space="preserve"> promises            1.3.2   2024-11-28 [1] CRAN (R 4.5.0)</w:t>
      </w:r>
      <w:r>
        <w:br/>
      </w:r>
      <w:r>
        <w:rPr>
          <w:rStyle w:val="VerbatimChar"/>
        </w:rPr>
        <w:t xml:space="preserve"> ps                  1.9.1   2025-04-12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ragg                1.4.0   2025-04-10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rgeolocate        * 1.4.2   2025-05-14 [1] Github (ironholds/rgeolocate@d2f550e)</w:t>
      </w:r>
      <w:r>
        <w:br/>
      </w:r>
      <w:r>
        <w:rPr>
          <w:rStyle w:val="VerbatimChar"/>
        </w:rPr>
        <w:t xml:space="preserve"> rlang               1.1.6   2025-04-11 [1] CRAN (R 4.5.0)</w:t>
      </w:r>
      <w:r>
        <w:br/>
      </w:r>
      <w:r>
        <w:rPr>
          <w:rStyle w:val="VerbatimChar"/>
        </w:rPr>
        <w:t xml:space="preserve"> rlist             * 0.4.6.2 2021-09-03 [1] CRAN (R 4.5.0)</w:t>
      </w:r>
      <w:r>
        <w:br/>
      </w:r>
      <w:r>
        <w:rPr>
          <w:rStyle w:val="VerbatimChar"/>
        </w:rPr>
        <w:t xml:space="preserve"> rmarkdown           2.29    2024-11-04 [1] CRAN (R 4.5.0)</w:t>
      </w:r>
      <w:r>
        <w:br/>
      </w:r>
      <w:r>
        <w:rPr>
          <w:rStyle w:val="VerbatimChar"/>
        </w:rPr>
        <w:t xml:space="preserve"> rprojroot           2.0.4   2023-11-05 [1] CRAN (R 4.5.0)</w:t>
      </w:r>
      <w:r>
        <w:br/>
      </w:r>
      <w:r>
        <w:rPr>
          <w:rStyle w:val="VerbatimChar"/>
        </w:rPr>
        <w:t xml:space="preserve"> rstudioapi          0.17.1  2024-10-22 [1] CRAN (R 4.5.0)</w:t>
      </w:r>
      <w:r>
        <w:br/>
      </w:r>
      <w:r>
        <w:rPr>
          <w:rStyle w:val="VerbatimChar"/>
        </w:rPr>
        <w:t xml:space="preserve"> rvest             * 1.0.4   2024-02-12 [1] CRAN (R 4.5.0)</w:t>
      </w:r>
      <w:r>
        <w:br/>
      </w:r>
      <w:r>
        <w:rPr>
          <w:rStyle w:val="VerbatimChar"/>
        </w:rPr>
        <w:t xml:space="preserve"> scales              1.4.0   2025-04-24 [1] CRAN (R 4.5.0)</w:t>
      </w:r>
      <w:r>
        <w:br/>
      </w:r>
      <w:r>
        <w:rPr>
          <w:rStyle w:val="VerbatimChar"/>
        </w:rPr>
        <w:t xml:space="preserve"> selectr             0.4-2   2019-11-20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snakecase           0.11.1  2023-08-27 [1] CRAN (R 4.5.0)</w:t>
      </w:r>
      <w:r>
        <w:br/>
      </w:r>
      <w:r>
        <w:rPr>
          <w:rStyle w:val="VerbatimChar"/>
        </w:rPr>
        <w:t xml:space="preserve"> stringi           * 1.8.7   2025-03-27 [1] CRAN (R 4.5.0)</w:t>
      </w:r>
      <w:r>
        <w:br/>
      </w:r>
      <w:r>
        <w:rPr>
          <w:rStyle w:val="VerbatimChar"/>
        </w:rPr>
        <w:t xml:space="preserve"> stringr           * 1.5.1   2023-11-14 [1] CRAN (R 4.5.0)</w:t>
      </w:r>
      <w:r>
        <w:br/>
      </w:r>
      <w:r>
        <w:rPr>
          <w:rStyle w:val="VerbatimChar"/>
        </w:rPr>
        <w:t xml:space="preserve"> svglite             2.2.1   2025-05-12 [1] CRAN (R 4.5.0)</w:t>
      </w:r>
      <w:r>
        <w:br/>
      </w:r>
      <w:r>
        <w:rPr>
          <w:rStyle w:val="VerbatimChar"/>
        </w:rPr>
        <w:t xml:space="preserve"> systemfonts         1.2.3   2025-04-30 [1] CRAN (R 4.5.0)</w:t>
      </w:r>
      <w:r>
        <w:br/>
      </w:r>
      <w:r>
        <w:rPr>
          <w:rStyle w:val="VerbatimChar"/>
        </w:rPr>
        <w:t xml:space="preserve"> textshaping         1.0.1   2025-05-01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uuid                1.2-1   2024-07-29 [1] CRAN (R 4.5.0)</w:t>
      </w:r>
      <w:r>
        <w:br/>
      </w:r>
      <w:r>
        <w:rPr>
          <w:rStyle w:val="VerbatimChar"/>
        </w:rPr>
        <w:t xml:space="preserve"> vctrs               0.6.5   2023-12-01 [1] CRAN (R 4.5.0)</w:t>
      </w:r>
      <w:r>
        <w:br/>
      </w:r>
      <w:r>
        <w:rPr>
          <w:rStyle w:val="VerbatimChar"/>
        </w:rPr>
        <w:t xml:space="preserve"> vipor               0.4.7   2023-12-18 [1] CRAN (R 4.5.0)</w:t>
      </w:r>
      <w:r>
        <w:br/>
      </w:r>
      <w:r>
        <w:rPr>
          <w:rStyle w:val="VerbatimChar"/>
        </w:rPr>
        <w:t xml:space="preserve"> viridis           * 0.6.5   2024-01-29 [1] CRAN (R 4.5.0)</w:t>
      </w:r>
      <w:r>
        <w:br/>
      </w:r>
      <w:r>
        <w:rPr>
          <w:rStyle w:val="VerbatimChar"/>
        </w:rPr>
        <w:t xml:space="preserve"> viridisLite       * 0.4.2   2023-05-02 [1] CRAN (R 4.5.0)</w:t>
      </w:r>
      <w:r>
        <w:br/>
      </w:r>
      <w:r>
        <w:rPr>
          <w:rStyle w:val="VerbatimChar"/>
        </w:rPr>
        <w:t xml:space="preserve"> vroom               1.6.5   2023-12-05 [1] CRAN (R 4.5.0)</w:t>
      </w:r>
      <w:r>
        <w:br/>
      </w:r>
      <w:r>
        <w:rPr>
          <w:rStyle w:val="VerbatimChar"/>
        </w:rPr>
        <w:t xml:space="preserve"> websocket           1.4.4   2025-04-10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zip                 2.3.2   2025-02-01 [1] CRAN (R 4.5.0)</w:t>
      </w:r>
      <w:r>
        <w:br/>
      </w:r>
      <w:r>
        <w:br/>
      </w:r>
      <w:r>
        <w:rPr>
          <w:rStyle w:val="VerbatimChar"/>
        </w:rPr>
        <w:t xml:space="preserve"> [1] /Library/Frameworks/R.framework/Versions/4.5-x86_64/Resources/library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[6970293] 2025-05-22: More text added on valorization of tenure-track jobs in higher ed.</w:t>
      </w:r>
    </w:p>
    <w:bookmarkEnd w:id="176"/>
    <w:bookmarkEnd w:id="17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22" Target="media/rId22.png" /><Relationship Type="http://schemas.openxmlformats.org/officeDocument/2006/relationships/hyperlink" Id="rId104" Target="https://arizona.academia.edu/LarsFogelin" TargetMode="External" /><Relationship Type="http://schemas.openxmlformats.org/officeDocument/2006/relationships/hyperlink" Id="rId150" Target="https://culanth.org/fieldsights/academic-precarity-in-american-anthropology" TargetMode="External" /><Relationship Type="http://schemas.openxmlformats.org/officeDocument/2006/relationships/hyperlink" Id="rId148" Target="https://doi.org/10.1002/ajpa.23457" TargetMode="External" /><Relationship Type="http://schemas.openxmlformats.org/officeDocument/2006/relationships/hyperlink" Id="rId128" Target="https://doi.org/10.1002/sres.2210" TargetMode="External" /><Relationship Type="http://schemas.openxmlformats.org/officeDocument/2006/relationships/hyperlink" Id="rId110" Target="https://doi.org/10.1002/sres.2324" TargetMode="External" /><Relationship Type="http://schemas.openxmlformats.org/officeDocument/2006/relationships/hyperlink" Id="rId106" Target="https://doi.org/10.1007/s10761-020-00577-1" TargetMode="External" /><Relationship Type="http://schemas.openxmlformats.org/officeDocument/2006/relationships/hyperlink" Id="rId138" Target="https://doi.org/10.1007/s10816-015-9272-9" TargetMode="External" /><Relationship Type="http://schemas.openxmlformats.org/officeDocument/2006/relationships/hyperlink" Id="rId100" Target="https://doi.org/10.1007/s11192-021-03917-y" TargetMode="External" /><Relationship Type="http://schemas.openxmlformats.org/officeDocument/2006/relationships/hyperlink" Id="rId91" Target="https://doi.org/10.1017/aap.2022.8" TargetMode="External" /><Relationship Type="http://schemas.openxmlformats.org/officeDocument/2006/relationships/hyperlink" Id="rId141" Target="https://doi.org/10.1017/aap.2023.21" TargetMode="External" /><Relationship Type="http://schemas.openxmlformats.org/officeDocument/2006/relationships/hyperlink" Id="rId102" Target="https://doi.org/10.1017/aaq.2021.18" TargetMode="External" /><Relationship Type="http://schemas.openxmlformats.org/officeDocument/2006/relationships/hyperlink" Id="rId126" Target="https://doi.org/10.1017/aaq.2022.59" TargetMode="External" /><Relationship Type="http://schemas.openxmlformats.org/officeDocument/2006/relationships/hyperlink" Id="rId83" Target="https://doi.org/10.1017/eaa.2022.41" TargetMode="External" /><Relationship Type="http://schemas.openxmlformats.org/officeDocument/2006/relationships/hyperlink" Id="rId171" Target="https://doi.org/10.1038/d41586-020-01656-3" TargetMode="External" /><Relationship Type="http://schemas.openxmlformats.org/officeDocument/2006/relationships/hyperlink" Id="rId168" Target="https://doi.org/10.1038/s41586-022-05222-x" TargetMode="External" /><Relationship Type="http://schemas.openxmlformats.org/officeDocument/2006/relationships/hyperlink" Id="rId97" Target="https://doi.org/10.1073/pnas.2117320119" TargetMode="External" /><Relationship Type="http://schemas.openxmlformats.org/officeDocument/2006/relationships/hyperlink" Id="rId164" Target="https://doi.org/10.1093/cid/ciaa815" TargetMode="External" /><Relationship Type="http://schemas.openxmlformats.org/officeDocument/2006/relationships/hyperlink" Id="rId120" Target="https://doi.org/10.1093/geront/gnw001" TargetMode="External" /><Relationship Type="http://schemas.openxmlformats.org/officeDocument/2006/relationships/hyperlink" Id="rId173" Target="https://doi.org/10.1111/AN.1341" TargetMode="External" /><Relationship Type="http://schemas.openxmlformats.org/officeDocument/2006/relationships/hyperlink" Id="rId122" Target="https://doi.org/10.1111/aman.13158" TargetMode="External" /><Relationship Type="http://schemas.openxmlformats.org/officeDocument/2006/relationships/hyperlink" Id="rId95" Target="https://doi.org/10.1111/aman.13781" TargetMode="External" /><Relationship Type="http://schemas.openxmlformats.org/officeDocument/2006/relationships/hyperlink" Id="rId116" Target="https://doi.org/10.1111/amet.12520" TargetMode="External" /><Relationship Type="http://schemas.openxmlformats.org/officeDocument/2006/relationships/hyperlink" Id="rId146"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66" Target="https://doi.org/10.1111/j.1556-3502.2010.51904.x" TargetMode="External" /><Relationship Type="http://schemas.openxmlformats.org/officeDocument/2006/relationships/hyperlink" Id="rId89" Target="https://doi.org/10.1126/sciadv.1400005" TargetMode="External" /><Relationship Type="http://schemas.openxmlformats.org/officeDocument/2006/relationships/hyperlink" Id="rId136" Target="https://doi.org/10.1353/rhe.2019.0067" TargetMode="External" /><Relationship Type="http://schemas.openxmlformats.org/officeDocument/2006/relationships/hyperlink" Id="rId134" Target="https://doi.org/10.1371/journal.pone.0285330" TargetMode="External" /><Relationship Type="http://schemas.openxmlformats.org/officeDocument/2006/relationships/hyperlink" Id="rId155" Target="https://doi.org/10.1515/opar-2022-0309" TargetMode="External" /><Relationship Type="http://schemas.openxmlformats.org/officeDocument/2006/relationships/hyperlink" Id="rId157" Target="https://doi.org/10.1525/aa.1976.78.4.02a00070" TargetMode="External" /><Relationship Type="http://schemas.openxmlformats.org/officeDocument/2006/relationships/hyperlink" Id="rId93" Target="https://doi.org/10.17226/26405" TargetMode="External" /><Relationship Type="http://schemas.openxmlformats.org/officeDocument/2006/relationships/hyperlink" Id="rId85" Target="https://doi.org/10.48550/arXiv.1803.00125" TargetMode="External" /><Relationship Type="http://schemas.openxmlformats.org/officeDocument/2006/relationships/hyperlink" Id="rId132"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61" Target="https://lawreview.law.ucdavis.edu/archives/55/4/diversity-statements.html" TargetMode="External" /><Relationship Type="http://schemas.openxmlformats.org/officeDocument/2006/relationships/hyperlink" Id="rId144" Target="https://nces.ed.gov/ipeds/" TargetMode="External" /><Relationship Type="http://schemas.openxmlformats.org/officeDocument/2006/relationships/hyperlink" Id="rId152"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08" Target="https://www.anthropology-news.org/articles/hello-to-tristes-tropes/" TargetMode="External" /><Relationship Type="http://schemas.openxmlformats.org/officeDocument/2006/relationships/hyperlink" Id="rId114" Target="https://www.higheredjobs.com/Articles/articleDisplay.cfm?ID=3948" TargetMode="External" /><Relationship Type="http://schemas.openxmlformats.org/officeDocument/2006/relationships/hyperlink" Id="rId87" Target="https://www.insidehighered.com/opinion/career-advice/2024/05/09/graduate-work-must-focus-both-academic-and-applied-opinion"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04" Target="https://arizona.academia.edu/LarsFogelin" TargetMode="External" /><Relationship Type="http://schemas.openxmlformats.org/officeDocument/2006/relationships/hyperlink" Id="rId150" Target="https://culanth.org/fieldsights/academic-precarity-in-american-anthropology" TargetMode="External" /><Relationship Type="http://schemas.openxmlformats.org/officeDocument/2006/relationships/hyperlink" Id="rId148" Target="https://doi.org/10.1002/ajpa.23457" TargetMode="External" /><Relationship Type="http://schemas.openxmlformats.org/officeDocument/2006/relationships/hyperlink" Id="rId128" Target="https://doi.org/10.1002/sres.2210" TargetMode="External" /><Relationship Type="http://schemas.openxmlformats.org/officeDocument/2006/relationships/hyperlink" Id="rId110" Target="https://doi.org/10.1002/sres.2324" TargetMode="External" /><Relationship Type="http://schemas.openxmlformats.org/officeDocument/2006/relationships/hyperlink" Id="rId106" Target="https://doi.org/10.1007/s10761-020-00577-1" TargetMode="External" /><Relationship Type="http://schemas.openxmlformats.org/officeDocument/2006/relationships/hyperlink" Id="rId138" Target="https://doi.org/10.1007/s10816-015-9272-9" TargetMode="External" /><Relationship Type="http://schemas.openxmlformats.org/officeDocument/2006/relationships/hyperlink" Id="rId100" Target="https://doi.org/10.1007/s11192-021-03917-y" TargetMode="External" /><Relationship Type="http://schemas.openxmlformats.org/officeDocument/2006/relationships/hyperlink" Id="rId91" Target="https://doi.org/10.1017/aap.2022.8" TargetMode="External" /><Relationship Type="http://schemas.openxmlformats.org/officeDocument/2006/relationships/hyperlink" Id="rId141" Target="https://doi.org/10.1017/aap.2023.21" TargetMode="External" /><Relationship Type="http://schemas.openxmlformats.org/officeDocument/2006/relationships/hyperlink" Id="rId102" Target="https://doi.org/10.1017/aaq.2021.18" TargetMode="External" /><Relationship Type="http://schemas.openxmlformats.org/officeDocument/2006/relationships/hyperlink" Id="rId126" Target="https://doi.org/10.1017/aaq.2022.59" TargetMode="External" /><Relationship Type="http://schemas.openxmlformats.org/officeDocument/2006/relationships/hyperlink" Id="rId83" Target="https://doi.org/10.1017/eaa.2022.41" TargetMode="External" /><Relationship Type="http://schemas.openxmlformats.org/officeDocument/2006/relationships/hyperlink" Id="rId171" Target="https://doi.org/10.1038/d41586-020-01656-3" TargetMode="External" /><Relationship Type="http://schemas.openxmlformats.org/officeDocument/2006/relationships/hyperlink" Id="rId168" Target="https://doi.org/10.1038/s41586-022-05222-x" TargetMode="External" /><Relationship Type="http://schemas.openxmlformats.org/officeDocument/2006/relationships/hyperlink" Id="rId97" Target="https://doi.org/10.1073/pnas.2117320119" TargetMode="External" /><Relationship Type="http://schemas.openxmlformats.org/officeDocument/2006/relationships/hyperlink" Id="rId164" Target="https://doi.org/10.1093/cid/ciaa815" TargetMode="External" /><Relationship Type="http://schemas.openxmlformats.org/officeDocument/2006/relationships/hyperlink" Id="rId120" Target="https://doi.org/10.1093/geront/gnw001" TargetMode="External" /><Relationship Type="http://schemas.openxmlformats.org/officeDocument/2006/relationships/hyperlink" Id="rId173" Target="https://doi.org/10.1111/AN.1341" TargetMode="External" /><Relationship Type="http://schemas.openxmlformats.org/officeDocument/2006/relationships/hyperlink" Id="rId122" Target="https://doi.org/10.1111/aman.13158" TargetMode="External" /><Relationship Type="http://schemas.openxmlformats.org/officeDocument/2006/relationships/hyperlink" Id="rId95" Target="https://doi.org/10.1111/aman.13781" TargetMode="External" /><Relationship Type="http://schemas.openxmlformats.org/officeDocument/2006/relationships/hyperlink" Id="rId116" Target="https://doi.org/10.1111/amet.12520" TargetMode="External" /><Relationship Type="http://schemas.openxmlformats.org/officeDocument/2006/relationships/hyperlink" Id="rId146"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66" Target="https://doi.org/10.1111/j.1556-3502.2010.51904.x" TargetMode="External" /><Relationship Type="http://schemas.openxmlformats.org/officeDocument/2006/relationships/hyperlink" Id="rId89" Target="https://doi.org/10.1126/sciadv.1400005" TargetMode="External" /><Relationship Type="http://schemas.openxmlformats.org/officeDocument/2006/relationships/hyperlink" Id="rId136" Target="https://doi.org/10.1353/rhe.2019.0067" TargetMode="External" /><Relationship Type="http://schemas.openxmlformats.org/officeDocument/2006/relationships/hyperlink" Id="rId134" Target="https://doi.org/10.1371/journal.pone.0285330" TargetMode="External" /><Relationship Type="http://schemas.openxmlformats.org/officeDocument/2006/relationships/hyperlink" Id="rId155" Target="https://doi.org/10.1515/opar-2022-0309" TargetMode="External" /><Relationship Type="http://schemas.openxmlformats.org/officeDocument/2006/relationships/hyperlink" Id="rId157" Target="https://doi.org/10.1525/aa.1976.78.4.02a00070" TargetMode="External" /><Relationship Type="http://schemas.openxmlformats.org/officeDocument/2006/relationships/hyperlink" Id="rId93" Target="https://doi.org/10.17226/26405" TargetMode="External" /><Relationship Type="http://schemas.openxmlformats.org/officeDocument/2006/relationships/hyperlink" Id="rId85" Target="https://doi.org/10.48550/arXiv.1803.00125" TargetMode="External" /><Relationship Type="http://schemas.openxmlformats.org/officeDocument/2006/relationships/hyperlink" Id="rId132"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61" Target="https://lawreview.law.ucdavis.edu/archives/55/4/diversity-statements.html" TargetMode="External" /><Relationship Type="http://schemas.openxmlformats.org/officeDocument/2006/relationships/hyperlink" Id="rId144" Target="https://nces.ed.gov/ipeds/" TargetMode="External" /><Relationship Type="http://schemas.openxmlformats.org/officeDocument/2006/relationships/hyperlink" Id="rId152"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08" Target="https://www.anthropology-news.org/articles/hello-to-tristes-tropes/" TargetMode="External" /><Relationship Type="http://schemas.openxmlformats.org/officeDocument/2006/relationships/hyperlink" Id="rId114" Target="https://www.higheredjobs.com/Articles/articleDisplay.cfm?ID=3948" TargetMode="External" /><Relationship Type="http://schemas.openxmlformats.org/officeDocument/2006/relationships/hyperlink" Id="rId87" Target="https://www.insidehighered.com/opinion/career-advice/2024/05/09/graduate-work-must-focus-both-academic-and-applied-opinion"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2025-05-23T04:15:33Z</dcterms:created>
  <dcterms:modified xsi:type="dcterms:W3CDTF">2025-05-23T04:15:33Z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22,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